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2F0" w:rsidRDefault="00FB32F0" w:rsidP="00FB32F0">
      <w:pPr>
        <w:tabs>
          <w:tab w:val="left" w:pos="7920"/>
        </w:tabs>
        <w:rPr>
          <w:rFonts w:cs="Tahoma"/>
        </w:rPr>
      </w:pPr>
    </w:p>
    <w:p w:rsidR="00FB32F0" w:rsidRDefault="00FB32F0" w:rsidP="00FB32F0"/>
    <w:p w:rsidR="00FB32F0" w:rsidRDefault="00FB32F0" w:rsidP="00FB32F0"/>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FB32F0" w:rsidRPr="00701EAC"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w:t>
      </w:r>
      <w:bookmarkEnd w:id="0"/>
      <w:bookmarkEnd w:id="1"/>
      <w:bookmarkEnd w:id="2"/>
      <w:bookmarkEnd w:id="3"/>
      <w:bookmarkEnd w:id="4"/>
      <w:bookmarkEnd w:id="5"/>
      <w:bookmarkEnd w:id="6"/>
      <w:bookmarkEnd w:id="7"/>
      <w:r>
        <w:rPr>
          <w:rFonts w:ascii="Arial" w:hAnsi="Arial" w:cs="Arial"/>
          <w:b w:val="0"/>
          <w:bCs w:val="0"/>
          <w:color w:val="auto"/>
          <w:sz w:val="32"/>
        </w:rPr>
        <w:t>n</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pPr>
      <w:r w:rsidRPr="00701EAC">
        <w:rPr>
          <w:rFonts w:ascii="Arial" w:hAnsi="Arial" w:cs="Arial"/>
          <w:b w:val="0"/>
          <w:bCs w:val="0"/>
          <w:sz w:val="32"/>
          <w:szCs w:val="32"/>
        </w:rPr>
        <w:t>For</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6"/>
        </w:rPr>
      </w:pPr>
      <w:r w:rsidRPr="00701EAC">
        <w:rPr>
          <w:rFonts w:ascii="Arial" w:hAnsi="Arial" w:cs="Arial"/>
          <w:b w:val="0"/>
          <w:bCs w:val="0"/>
          <w:sz w:val="32"/>
          <w:szCs w:val="36"/>
        </w:rPr>
        <w:t>Supply of</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36"/>
          <w:szCs w:val="36"/>
        </w:rPr>
      </w:pPr>
      <w:r w:rsidRPr="00701EAC">
        <w:rPr>
          <w:rFonts w:ascii="Arial" w:hAnsi="Arial" w:cs="Arial"/>
          <w:bCs w:val="0"/>
          <w:sz w:val="36"/>
          <w:szCs w:val="36"/>
        </w:rPr>
        <w:t>"</w:t>
      </w:r>
      <w:r w:rsidR="000A31D6" w:rsidRPr="000A31D6">
        <w:t xml:space="preserve"> </w:t>
      </w:r>
      <w:r w:rsidR="00E92521">
        <w:t xml:space="preserve">UP-GRADATION OF CONTROL SYSTEM OF POWER FENCE AT BEML LIMITED, BANGALORE COMPLEX </w:t>
      </w:r>
      <w:r>
        <w:rPr>
          <w:rFonts w:ascii="Arial" w:hAnsi="Arial" w:cs="Arial"/>
          <w:sz w:val="32"/>
          <w:szCs w:val="32"/>
        </w:rPr>
        <w:t>"</w:t>
      </w:r>
    </w:p>
    <w:p w:rsidR="00FB32F0" w:rsidRPr="00DA21B2"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szCs w:val="32"/>
        </w:rPr>
      </w:pPr>
      <w:r>
        <w:rPr>
          <w:rFonts w:ascii="Arial" w:hAnsi="Arial" w:cs="Arial"/>
          <w:sz w:val="32"/>
        </w:rPr>
        <w:t>Tender No.63000</w:t>
      </w:r>
      <w:r w:rsidR="000A31D6">
        <w:rPr>
          <w:rFonts w:ascii="Arial" w:hAnsi="Arial" w:cs="Arial"/>
          <w:sz w:val="32"/>
        </w:rPr>
        <w:t>3</w:t>
      </w:r>
      <w:r w:rsidR="00E92521">
        <w:rPr>
          <w:rFonts w:ascii="Arial" w:hAnsi="Arial" w:cs="Arial"/>
          <w:sz w:val="32"/>
        </w:rPr>
        <w:t>3958</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rPr>
      </w:pPr>
      <w:r>
        <w:rPr>
          <w:rFonts w:ascii="Arial" w:hAnsi="Arial" w:cs="Arial"/>
          <w:sz w:val="32"/>
        </w:rPr>
        <w:t xml:space="preserve">Tender Closing date: </w:t>
      </w:r>
      <w:r w:rsidR="00E92521">
        <w:rPr>
          <w:rFonts w:ascii="Arial" w:hAnsi="Arial" w:cs="Arial"/>
          <w:sz w:val="32"/>
        </w:rPr>
        <w:t>08</w:t>
      </w:r>
      <w:r>
        <w:rPr>
          <w:rFonts w:ascii="Arial" w:hAnsi="Arial" w:cs="Arial"/>
          <w:sz w:val="32"/>
        </w:rPr>
        <w:t>.</w:t>
      </w:r>
      <w:r w:rsidR="000A31D6">
        <w:rPr>
          <w:rFonts w:ascii="Arial" w:hAnsi="Arial" w:cs="Arial"/>
          <w:sz w:val="32"/>
        </w:rPr>
        <w:t>0</w:t>
      </w:r>
      <w:r w:rsidR="00E92521">
        <w:rPr>
          <w:rFonts w:ascii="Arial" w:hAnsi="Arial" w:cs="Arial"/>
          <w:sz w:val="32"/>
        </w:rPr>
        <w:t>9</w:t>
      </w:r>
      <w:r>
        <w:rPr>
          <w:rFonts w:ascii="Arial" w:hAnsi="Arial" w:cs="Arial"/>
          <w:sz w:val="32"/>
        </w:rPr>
        <w:t>.20</w:t>
      </w:r>
      <w:r w:rsidR="000A31D6">
        <w:rPr>
          <w:rFonts w:ascii="Arial" w:hAnsi="Arial" w:cs="Arial"/>
          <w:sz w:val="32"/>
        </w:rPr>
        <w:t>20</w:t>
      </w:r>
      <w:r>
        <w:rPr>
          <w:rFonts w:ascii="Arial" w:hAnsi="Arial" w:cs="Arial"/>
          <w:sz w:val="32"/>
        </w:rPr>
        <w:t>, 1</w:t>
      </w:r>
      <w:r w:rsidR="00E92521">
        <w:rPr>
          <w:rFonts w:ascii="Arial" w:hAnsi="Arial" w:cs="Arial"/>
          <w:sz w:val="32"/>
        </w:rPr>
        <w:t>4</w:t>
      </w:r>
      <w:r>
        <w:rPr>
          <w:rFonts w:ascii="Arial" w:hAnsi="Arial" w:cs="Arial"/>
          <w:sz w:val="32"/>
        </w:rPr>
        <w:t>00 Hours</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sz w:val="32"/>
        </w:rPr>
        <w:t>To</w:t>
      </w:r>
    </w:p>
    <w:p w:rsidR="00FB32F0" w:rsidRPr="00701EAC" w:rsidRDefault="00FB32F0" w:rsidP="00FB32F0">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701EAC">
        <w:rPr>
          <w:b w:val="0"/>
          <w:bCs w:val="0"/>
          <w:i w:val="0"/>
          <w:iCs w:val="0"/>
          <w:sz w:val="32"/>
          <w:szCs w:val="32"/>
        </w:rPr>
        <w:t>BEML Limited</w:t>
      </w:r>
      <w:bookmarkEnd w:id="8"/>
      <w:bookmarkEnd w:id="9"/>
      <w:bookmarkEnd w:id="10"/>
      <w:bookmarkEnd w:id="11"/>
      <w:bookmarkEnd w:id="12"/>
      <w:bookmarkEnd w:id="13"/>
      <w:bookmarkEnd w:id="14"/>
      <w:bookmarkEnd w:id="15"/>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701EAC">
        <w:rPr>
          <w:rFonts w:ascii="Arial" w:hAnsi="Arial" w:cs="Arial"/>
          <w:b/>
          <w:sz w:val="24"/>
          <w:szCs w:val="24"/>
        </w:rPr>
        <w:t>Event Service Provider:</w:t>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9264" behindDoc="0" locked="0" layoutInCell="1" allowOverlap="1">
            <wp:simplePos x="0" y="0"/>
            <wp:positionH relativeFrom="column">
              <wp:posOffset>2047875</wp:posOffset>
            </wp:positionH>
            <wp:positionV relativeFrom="paragraph">
              <wp:posOffset>72390</wp:posOffset>
            </wp:positionV>
            <wp:extent cx="1733550" cy="939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701EAC">
        <w:rPr>
          <w:rFonts w:ascii="Arial" w:hAnsi="Arial" w:cs="Arial"/>
          <w:b/>
          <w:sz w:val="18"/>
          <w:szCs w:val="18"/>
        </w:rPr>
        <w:t xml:space="preserve">Confidential Document: for limited circulation among the participants of </w:t>
      </w:r>
      <w:r>
        <w:rPr>
          <w:rFonts w:ascii="Arial" w:hAnsi="Arial" w:cs="Arial"/>
          <w:b/>
          <w:sz w:val="18"/>
          <w:szCs w:val="18"/>
        </w:rPr>
        <w:t>e-</w:t>
      </w:r>
      <w:proofErr w:type="gramStart"/>
      <w:r>
        <w:rPr>
          <w:rFonts w:ascii="Arial" w:hAnsi="Arial" w:cs="Arial"/>
          <w:b/>
          <w:sz w:val="18"/>
          <w:szCs w:val="18"/>
        </w:rPr>
        <w:t xml:space="preserve">bid </w:t>
      </w:r>
      <w:r w:rsidRPr="00701EAC">
        <w:rPr>
          <w:rFonts w:ascii="Arial" w:hAnsi="Arial" w:cs="Arial"/>
          <w:b/>
          <w:sz w:val="18"/>
          <w:szCs w:val="18"/>
        </w:rPr>
        <w:t xml:space="preserve"> event</w:t>
      </w:r>
      <w:proofErr w:type="gramEnd"/>
      <w:r w:rsidRPr="00701EAC">
        <w:rPr>
          <w:rFonts w:ascii="Arial" w:hAnsi="Arial" w:cs="Arial"/>
          <w:b/>
          <w:sz w:val="18"/>
          <w:szCs w:val="18"/>
        </w:rPr>
        <w:t xml:space="preserve">, for Annual requirement finalization for BEML to be conducted on “BEML </w:t>
      </w:r>
      <w:smartTag w:uri="urn:schemas-microsoft-com:office:smarttags" w:element="stockticker">
        <w:r w:rsidRPr="00701EAC">
          <w:rPr>
            <w:rFonts w:ascii="Arial" w:hAnsi="Arial" w:cs="Arial"/>
            <w:b/>
            <w:sz w:val="18"/>
            <w:szCs w:val="18"/>
          </w:rPr>
          <w:t>SRM</w:t>
        </w:r>
      </w:smartTag>
      <w:r w:rsidRPr="00701EAC">
        <w:rPr>
          <w:rFonts w:ascii="Arial" w:hAnsi="Arial" w:cs="Arial"/>
          <w:b/>
          <w:sz w:val="18"/>
          <w:szCs w:val="18"/>
        </w:rPr>
        <w:t>” Platform</w:t>
      </w:r>
    </w:p>
    <w:p w:rsidR="00FB32F0" w:rsidRDefault="00FB32F0" w:rsidP="00FB32F0">
      <w:bookmarkStart w:id="16" w:name="_Toc109778803"/>
      <w:bookmarkStart w:id="17" w:name="_Toc109778838"/>
      <w:bookmarkStart w:id="18" w:name="_Toc109785615"/>
      <w:bookmarkStart w:id="19" w:name="_Toc131894078"/>
      <w:bookmarkStart w:id="20" w:name="_Toc131894337"/>
      <w:bookmarkStart w:id="21" w:name="_Toc131922731"/>
    </w:p>
    <w:p w:rsidR="00FB32F0" w:rsidRDefault="00FB32F0" w:rsidP="00FB32F0"/>
    <w:p w:rsidR="00FB32F0" w:rsidRDefault="00FB32F0" w:rsidP="00FB32F0"/>
    <w:p w:rsidR="00FB32F0" w:rsidRDefault="00FB32F0" w:rsidP="00FB32F0"/>
    <w:p w:rsidR="00FB32F0" w:rsidRDefault="00FB32F0" w:rsidP="00FB32F0"/>
    <w:bookmarkEnd w:id="16"/>
    <w:bookmarkEnd w:id="17"/>
    <w:bookmarkEnd w:id="18"/>
    <w:bookmarkEnd w:id="19"/>
    <w:bookmarkEnd w:id="20"/>
    <w:bookmarkEnd w:id="21"/>
    <w:p w:rsidR="00FB32F0" w:rsidRPr="00701EAC" w:rsidRDefault="00FB32F0" w:rsidP="00FB32F0">
      <w:pPr>
        <w:pStyle w:val="Heading5"/>
        <w:shd w:val="clear" w:color="auto" w:fill="404040"/>
        <w:ind w:left="-360" w:right="-338"/>
        <w:rPr>
          <w:rFonts w:ascii="Arial" w:hAnsi="Arial" w:cs="Arial"/>
          <w:color w:val="FFFFFF"/>
          <w:szCs w:val="24"/>
        </w:rPr>
      </w:pPr>
      <w:r w:rsidRPr="00701EAC">
        <w:rPr>
          <w:rFonts w:ascii="Arial" w:hAnsi="Arial" w:cs="Arial"/>
          <w:color w:val="FFFFFF"/>
          <w:szCs w:val="24"/>
        </w:rPr>
        <w:lastRenderedPageBreak/>
        <w:t>Exhibit - A</w:t>
      </w:r>
    </w:p>
    <w:tbl>
      <w:tblPr>
        <w:tblW w:w="9994"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1625"/>
        <w:gridCol w:w="5216"/>
        <w:gridCol w:w="1260"/>
        <w:gridCol w:w="1148"/>
        <w:gridCol w:w="26"/>
      </w:tblGrid>
      <w:tr w:rsidR="00FB32F0" w:rsidRPr="00701EAC" w:rsidTr="00AE3287">
        <w:trPr>
          <w:gridAfter w:val="1"/>
          <w:wAfter w:w="26" w:type="dxa"/>
          <w:trHeight w:val="585"/>
        </w:trPr>
        <w:tc>
          <w:tcPr>
            <w:tcW w:w="9968" w:type="dxa"/>
            <w:gridSpan w:val="5"/>
          </w:tcPr>
          <w:p w:rsidR="00FB32F0" w:rsidRPr="00701EAC" w:rsidRDefault="00FB32F0" w:rsidP="00AE3287">
            <w:pPr>
              <w:jc w:val="center"/>
              <w:rPr>
                <w:rFonts w:ascii="Arial" w:hAnsi="Arial" w:cs="Arial"/>
                <w:sz w:val="24"/>
                <w:szCs w:val="24"/>
              </w:rPr>
            </w:pPr>
            <w:r w:rsidRPr="00701EAC">
              <w:rPr>
                <w:rFonts w:ascii="Arial" w:hAnsi="Arial" w:cs="Arial"/>
                <w:sz w:val="24"/>
                <w:szCs w:val="24"/>
              </w:rPr>
              <w:t xml:space="preserve">Tentative requirement of </w:t>
            </w:r>
          </w:p>
          <w:p w:rsidR="00FB32F0" w:rsidRDefault="00FB32F0" w:rsidP="00AE3287">
            <w:pPr>
              <w:jc w:val="center"/>
              <w:rPr>
                <w:rFonts w:ascii="Arial" w:hAnsi="Arial" w:cs="Arial"/>
                <w:b/>
                <w:bCs/>
                <w:sz w:val="32"/>
                <w:szCs w:val="32"/>
              </w:rPr>
            </w:pPr>
            <w:r w:rsidRPr="004D4DF3">
              <w:rPr>
                <w:b/>
                <w:sz w:val="32"/>
                <w:szCs w:val="32"/>
              </w:rPr>
              <w:t xml:space="preserve"> </w:t>
            </w:r>
            <w:r>
              <w:rPr>
                <w:b/>
                <w:sz w:val="32"/>
                <w:szCs w:val="32"/>
              </w:rPr>
              <w:t>“</w:t>
            </w:r>
            <w:r w:rsidR="00E92521" w:rsidRPr="00E92521">
              <w:rPr>
                <w:sz w:val="24"/>
                <w:szCs w:val="24"/>
              </w:rPr>
              <w:t>UP-GRADATION OF CONTROL SYSTEM OF POWER FENCE AT BEML LIMITED, BANGALORE COMPLEX</w:t>
            </w:r>
            <w:r>
              <w:rPr>
                <w:rFonts w:ascii="Arial" w:hAnsi="Arial" w:cs="Arial"/>
                <w:b/>
                <w:bCs/>
                <w:sz w:val="32"/>
                <w:szCs w:val="32"/>
              </w:rPr>
              <w:t>”</w:t>
            </w:r>
          </w:p>
          <w:p w:rsidR="00FB32F0" w:rsidRPr="00701EAC" w:rsidRDefault="00FB32F0" w:rsidP="00AE3287">
            <w:pPr>
              <w:jc w:val="center"/>
              <w:rPr>
                <w:rFonts w:ascii="Arial" w:hAnsi="Arial" w:cs="Arial"/>
                <w:sz w:val="24"/>
                <w:szCs w:val="24"/>
              </w:rPr>
            </w:pPr>
            <w:r w:rsidRPr="00701EAC">
              <w:rPr>
                <w:rFonts w:ascii="Arial" w:hAnsi="Arial" w:cs="Arial"/>
                <w:sz w:val="24"/>
                <w:szCs w:val="24"/>
              </w:rPr>
              <w:t>Division: BE</w:t>
            </w:r>
            <w:r>
              <w:rPr>
                <w:rFonts w:ascii="Arial" w:hAnsi="Arial" w:cs="Arial"/>
                <w:sz w:val="24"/>
                <w:szCs w:val="24"/>
              </w:rPr>
              <w:t xml:space="preserve">ML, </w:t>
            </w:r>
            <w:smartTag w:uri="urn:schemas-microsoft-com:office:smarttags" w:element="City">
              <w:smartTag w:uri="urn:schemas-microsoft-com:office:smarttags" w:element="place">
                <w:r>
                  <w:rPr>
                    <w:rFonts w:ascii="Arial" w:hAnsi="Arial" w:cs="Arial"/>
                    <w:sz w:val="24"/>
                    <w:szCs w:val="24"/>
                  </w:rPr>
                  <w:t>Bangalore</w:t>
                </w:r>
              </w:smartTag>
            </w:smartTag>
            <w:r>
              <w:rPr>
                <w:rFonts w:ascii="Arial" w:hAnsi="Arial" w:cs="Arial"/>
                <w:sz w:val="24"/>
                <w:szCs w:val="24"/>
              </w:rPr>
              <w:t xml:space="preserve"> Complex</w:t>
            </w:r>
          </w:p>
        </w:tc>
      </w:tr>
      <w:tr w:rsidR="00FB32F0" w:rsidRPr="00701EAC" w:rsidTr="00AE3287">
        <w:trPr>
          <w:gridAfter w:val="1"/>
          <w:wAfter w:w="26" w:type="dxa"/>
          <w:trHeight w:val="261"/>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FB32F0" w:rsidRPr="00701EAC" w:rsidTr="00AE3287">
        <w:trPr>
          <w:gridAfter w:val="1"/>
          <w:wAfter w:w="26" w:type="dxa"/>
          <w:trHeight w:val="288"/>
        </w:trPr>
        <w:tc>
          <w:tcPr>
            <w:tcW w:w="719"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Sl. No.</w:t>
            </w:r>
          </w:p>
        </w:tc>
        <w:tc>
          <w:tcPr>
            <w:tcW w:w="1625"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Code</w:t>
            </w:r>
          </w:p>
        </w:tc>
        <w:tc>
          <w:tcPr>
            <w:tcW w:w="5216" w:type="dxa"/>
            <w:tcMar>
              <w:top w:w="17" w:type="dxa"/>
              <w:left w:w="17" w:type="dxa"/>
              <w:bottom w:w="0" w:type="dxa"/>
              <w:right w:w="17" w:type="dxa"/>
            </w:tcMar>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Name</w:t>
            </w:r>
          </w:p>
        </w:tc>
        <w:tc>
          <w:tcPr>
            <w:tcW w:w="1260"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UOM</w:t>
            </w:r>
          </w:p>
        </w:tc>
        <w:tc>
          <w:tcPr>
            <w:tcW w:w="1148"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Quantity</w:t>
            </w:r>
          </w:p>
        </w:tc>
      </w:tr>
      <w:tr w:rsidR="00FB32F0" w:rsidRPr="00701EAC" w:rsidTr="00AE3287">
        <w:trPr>
          <w:gridAfter w:val="1"/>
          <w:wAfter w:w="26" w:type="dxa"/>
          <w:trHeight w:val="434"/>
        </w:trPr>
        <w:tc>
          <w:tcPr>
            <w:tcW w:w="719" w:type="dxa"/>
            <w:vAlign w:val="center"/>
          </w:tcPr>
          <w:p w:rsidR="00FB32F0" w:rsidRPr="003C7A30" w:rsidRDefault="00FB32F0" w:rsidP="00AE3287">
            <w:pPr>
              <w:jc w:val="center"/>
              <w:rPr>
                <w:rFonts w:ascii="Arial" w:hAnsi="Arial" w:cs="Arial"/>
                <w:b/>
              </w:rPr>
            </w:pPr>
            <w:r w:rsidRPr="003C7A30">
              <w:rPr>
                <w:rFonts w:ascii="Arial" w:hAnsi="Arial" w:cs="Arial"/>
                <w:b/>
              </w:rPr>
              <w:t>1.</w:t>
            </w:r>
          </w:p>
        </w:tc>
        <w:tc>
          <w:tcPr>
            <w:tcW w:w="1625" w:type="dxa"/>
            <w:vAlign w:val="center"/>
          </w:tcPr>
          <w:p w:rsidR="00FB32F0" w:rsidRPr="00114FD4" w:rsidRDefault="00FB32F0" w:rsidP="00AE3287">
            <w:pPr>
              <w:jc w:val="center"/>
              <w:rPr>
                <w:rFonts w:ascii="Arial" w:hAnsi="Arial" w:cs="Arial"/>
                <w:b/>
              </w:rPr>
            </w:pPr>
          </w:p>
        </w:tc>
        <w:tc>
          <w:tcPr>
            <w:tcW w:w="5216" w:type="dxa"/>
            <w:tcMar>
              <w:top w:w="17" w:type="dxa"/>
              <w:left w:w="17" w:type="dxa"/>
              <w:bottom w:w="0" w:type="dxa"/>
              <w:right w:w="17" w:type="dxa"/>
            </w:tcMar>
            <w:vAlign w:val="center"/>
          </w:tcPr>
          <w:p w:rsidR="00FB32F0" w:rsidRPr="00114FD4" w:rsidRDefault="00E92521" w:rsidP="00AE3287">
            <w:pPr>
              <w:autoSpaceDE w:val="0"/>
              <w:autoSpaceDN w:val="0"/>
              <w:adjustRightInd w:val="0"/>
              <w:rPr>
                <w:rFonts w:ascii="Lucida Sans Typewriter" w:eastAsia="Calibri" w:hAnsi="Lucida Sans Typewriter" w:cs="Lucida Sans Typewriter"/>
              </w:rPr>
            </w:pPr>
            <w:r>
              <w:t>UP-GRADATION OF CONTROL SYSTEM OF POWER FENCE AT BEML LIMITED, BANGALORE COMPLEX</w:t>
            </w:r>
          </w:p>
        </w:tc>
        <w:tc>
          <w:tcPr>
            <w:tcW w:w="1260" w:type="dxa"/>
            <w:vAlign w:val="center"/>
          </w:tcPr>
          <w:p w:rsidR="00FB32F0" w:rsidRPr="003C7A30" w:rsidRDefault="00FB32F0" w:rsidP="00AE3287">
            <w:pPr>
              <w:jc w:val="center"/>
              <w:rPr>
                <w:rFonts w:ascii="Arial" w:hAnsi="Arial" w:cs="Arial"/>
                <w:b/>
              </w:rPr>
            </w:pPr>
            <w:r>
              <w:rPr>
                <w:rFonts w:ascii="Arial" w:hAnsi="Arial" w:cs="Arial"/>
                <w:b/>
              </w:rPr>
              <w:t xml:space="preserve"> AU</w:t>
            </w:r>
          </w:p>
        </w:tc>
        <w:tc>
          <w:tcPr>
            <w:tcW w:w="1148" w:type="dxa"/>
            <w:vAlign w:val="center"/>
          </w:tcPr>
          <w:p w:rsidR="00FB32F0" w:rsidRPr="003C7A30" w:rsidRDefault="00E92521" w:rsidP="00AE3287">
            <w:pPr>
              <w:jc w:val="center"/>
              <w:rPr>
                <w:rFonts w:ascii="Arial" w:hAnsi="Arial" w:cs="Arial"/>
                <w:b/>
              </w:rPr>
            </w:pPr>
            <w:r>
              <w:rPr>
                <w:rFonts w:ascii="Arial" w:hAnsi="Arial" w:cs="Arial"/>
                <w:b/>
              </w:rPr>
              <w:t>1</w:t>
            </w:r>
          </w:p>
        </w:tc>
      </w:tr>
      <w:tr w:rsidR="00FB32F0" w:rsidRPr="00701EAC" w:rsidTr="00AE3287">
        <w:trPr>
          <w:gridAfter w:val="1"/>
          <w:wAfter w:w="26" w:type="dxa"/>
          <w:trHeight w:val="577"/>
        </w:trPr>
        <w:tc>
          <w:tcPr>
            <w:tcW w:w="9968" w:type="dxa"/>
            <w:gridSpan w:val="5"/>
          </w:tcPr>
          <w:p w:rsidR="00FB32F0" w:rsidRDefault="00FB32F0" w:rsidP="00AE3287">
            <w:pPr>
              <w:ind w:left="1110"/>
              <w:rPr>
                <w:rFonts w:ascii="Arial Narrow" w:hAnsi="Arial Narrow"/>
                <w:sz w:val="22"/>
                <w:szCs w:val="22"/>
              </w:rPr>
            </w:pPr>
          </w:p>
          <w:p w:rsidR="00FB32F0" w:rsidRDefault="00FB32F0" w:rsidP="00AE3287">
            <w:pPr>
              <w:autoSpaceDE w:val="0"/>
              <w:autoSpaceDN w:val="0"/>
              <w:adjustRightInd w:val="0"/>
              <w:rPr>
                <w:rFonts w:ascii="Courier New" w:eastAsia="Calibri" w:hAnsi="Courier New" w:cs="Courier New"/>
                <w:color w:val="000000"/>
                <w:sz w:val="18"/>
                <w:szCs w:val="18"/>
              </w:rPr>
            </w:pPr>
          </w:p>
          <w:p w:rsidR="00E92521" w:rsidRPr="00E874E2" w:rsidRDefault="00E92521" w:rsidP="00E874E2">
            <w:pPr>
              <w:pStyle w:val="Paragraph"/>
              <w:spacing w:line="360" w:lineRule="auto"/>
              <w:ind w:left="473" w:right="274"/>
              <w:rPr>
                <w:rFonts w:ascii="Arial" w:hAnsi="Arial" w:cs="Arial"/>
                <w:sz w:val="22"/>
                <w:szCs w:val="22"/>
              </w:rPr>
            </w:pPr>
            <w:r w:rsidRPr="00E874E2">
              <w:rPr>
                <w:rFonts w:ascii="Arial" w:hAnsi="Arial" w:cs="Arial"/>
                <w:sz w:val="22"/>
                <w:szCs w:val="22"/>
              </w:rPr>
              <w:t xml:space="preserve">UP-GRADATION OF CONTROL SYSTEM OF POWER FENCE AT BEML LIMITED, BANGALORE </w:t>
            </w:r>
            <w:r w:rsidRPr="00E874E2">
              <w:rPr>
                <w:rFonts w:ascii="Arial" w:hAnsi="Arial" w:cs="Arial"/>
                <w:sz w:val="22"/>
                <w:szCs w:val="22"/>
              </w:rPr>
              <w:t>COMPLEX:</w:t>
            </w:r>
            <w:r w:rsidRPr="00E874E2">
              <w:rPr>
                <w:rFonts w:ascii="Arial" w:hAnsi="Arial" w:cs="Arial"/>
                <w:sz w:val="22"/>
                <w:szCs w:val="22"/>
              </w:rPr>
              <w:t xml:space="preserve"> 01 JOB.</w:t>
            </w:r>
          </w:p>
          <w:p w:rsidR="00E92521" w:rsidRPr="00E874E2" w:rsidRDefault="00E92521" w:rsidP="00E874E2">
            <w:pPr>
              <w:pStyle w:val="Paragraph"/>
              <w:spacing w:line="360" w:lineRule="auto"/>
              <w:ind w:left="473" w:right="274"/>
              <w:rPr>
                <w:rFonts w:ascii="Arial" w:hAnsi="Arial" w:cs="Arial"/>
                <w:sz w:val="22"/>
                <w:szCs w:val="22"/>
              </w:rPr>
            </w:pPr>
            <w:r w:rsidRPr="00E874E2">
              <w:rPr>
                <w:rFonts w:ascii="Arial" w:hAnsi="Arial" w:cs="Arial"/>
                <w:sz w:val="22"/>
                <w:szCs w:val="22"/>
              </w:rPr>
              <w:t>SCOPE OF WORK:</w:t>
            </w:r>
          </w:p>
          <w:p w:rsidR="00E92521" w:rsidRPr="00E874E2" w:rsidRDefault="00E92521" w:rsidP="00E874E2">
            <w:pPr>
              <w:pStyle w:val="Paragraph"/>
              <w:spacing w:line="360" w:lineRule="auto"/>
              <w:ind w:left="473" w:right="274"/>
              <w:rPr>
                <w:rFonts w:ascii="Arial" w:hAnsi="Arial" w:cs="Arial"/>
                <w:sz w:val="22"/>
                <w:szCs w:val="22"/>
              </w:rPr>
            </w:pP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visit / inspect the power fence system before quoting.</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 xml:space="preserve">The firm has to </w:t>
            </w:r>
            <w:r w:rsidRPr="00E874E2">
              <w:rPr>
                <w:rFonts w:ascii="Arial" w:hAnsi="Arial" w:cs="Arial"/>
                <w:sz w:val="22"/>
                <w:szCs w:val="22"/>
              </w:rPr>
              <w:t xml:space="preserve">Up-Grade </w:t>
            </w:r>
            <w:r w:rsidRPr="00E874E2">
              <w:rPr>
                <w:rFonts w:ascii="Arial" w:hAnsi="Arial" w:cs="Arial"/>
                <w:sz w:val="22"/>
                <w:szCs w:val="22"/>
              </w:rPr>
              <w:t>the existing power fence control system by retaining the physical power fence.</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 xml:space="preserve">The total length of the physical power fence system is 2940 </w:t>
            </w:r>
            <w:r w:rsidR="00E874E2" w:rsidRPr="00E874E2">
              <w:rPr>
                <w:rFonts w:ascii="Arial" w:hAnsi="Arial" w:cs="Arial"/>
                <w:sz w:val="22"/>
                <w:szCs w:val="22"/>
              </w:rPr>
              <w:t>meters</w:t>
            </w:r>
            <w:r w:rsidRPr="00E874E2">
              <w:rPr>
                <w:rFonts w:ascii="Arial" w:hAnsi="Arial" w:cs="Arial"/>
                <w:sz w:val="22"/>
                <w:szCs w:val="22"/>
              </w:rPr>
              <w: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quote for latest version of 5 Nos., of controllers and accessories required for power fence monitoring system.</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controller should communicate to the Mimic panel provided at Security office and firm has to give new mimic panel.</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carry out cabling for power supply and communication cable / OFC and accessories required for interfacing of the controller and Mimic panel provided at Security office. The firm may utilize the existing control box for mounting the new controller unit.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supply IO Boards, power supply units etc., for interfacing the control unit.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supply of Mimic panel and the design of Mimic panel is in consultation with user dept.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supply Batteries for backup of the controller.</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supply the controller unit and it should match the existing power fence system and application of power fence system.</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provide Mimic panel with LED and Alarm of 5 Zones and should be located at Security office.</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All the controls should be connected to Mimic panel of the existing power fence system and interface to the controller.</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commission and prove out the trails of power fence control system.</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give TWO years warranty for both the Controllers and accessories.</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lastRenderedPageBreak/>
              <w:t>The firm has to carryout maintenance of power fence system for two years.</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Payment will be made after successful commissioning and proving out.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highlight w:val="yellow"/>
              </w:rPr>
              <w:t>The firm should have minimum of 2 years of experience of carryout the power fence service and maintenance and has to submit supportive documents at the time of quoting.</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highlight w:val="yellow"/>
              </w:rPr>
              <w:t>The firm should have office in Bangalore and proof of address to be provided at the time of quoting.</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give offer for CAMC for 3rd, 4th and 5th year for maintenance of complete controller and power fence system separately year wise.</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should have ESI &amp; PF for their personnel.</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should give minimum of 10 years support for the spares / service.</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If any up-gradation in system software, the firm has to carry out at free of cost.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follow all safety measures while carrying out the job.</w:t>
            </w:r>
          </w:p>
          <w:p w:rsidR="00E92521" w:rsidRPr="00E874E2" w:rsidRDefault="00E92521" w:rsidP="00E874E2">
            <w:pPr>
              <w:pStyle w:val="Paragraph"/>
              <w:spacing w:line="360" w:lineRule="auto"/>
              <w:ind w:left="473" w:right="274"/>
              <w:contextualSpacing/>
              <w:rPr>
                <w:rFonts w:ascii="Arial" w:hAnsi="Arial" w:cs="Arial"/>
                <w:sz w:val="22"/>
                <w:szCs w:val="22"/>
              </w:rPr>
            </w:pP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submit service report to the concerned dept., after completion of work.</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Accessories like ladder, welding set, gas cylinder set required for attending the breakdown will be provided by BEML.</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make fully functional the entire Power Fence system by integrating with existing Power Fence system on Turn-key basis.</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has to maintain power fence system for ensuring proper operation of the power fence system during warranty period and also during the CAMC period.</w:t>
            </w:r>
          </w:p>
          <w:p w:rsidR="00E92521" w:rsidRPr="00E874E2" w:rsidRDefault="00E92521" w:rsidP="00E874E2">
            <w:pPr>
              <w:pStyle w:val="Paragraph"/>
              <w:numPr>
                <w:ilvl w:val="0"/>
                <w:numId w:val="13"/>
              </w:numPr>
              <w:spacing w:line="360" w:lineRule="auto"/>
              <w:ind w:right="274"/>
              <w:contextualSpacing/>
              <w:rPr>
                <w:rFonts w:ascii="Arial" w:hAnsi="Arial" w:cs="Arial"/>
                <w:b/>
                <w:sz w:val="22"/>
                <w:szCs w:val="22"/>
              </w:rPr>
            </w:pPr>
            <w:r w:rsidRPr="00E874E2">
              <w:rPr>
                <w:rFonts w:ascii="Arial" w:hAnsi="Arial" w:cs="Arial"/>
                <w:sz w:val="22"/>
                <w:szCs w:val="22"/>
              </w:rPr>
              <w:t xml:space="preserve">The power fence system should meet all the statutory requirements AND should comply with suitable clauses for electrical safety standards, considering the threat to life posed by the power fence system. </w:t>
            </w:r>
            <w:r w:rsidRPr="00E874E2">
              <w:rPr>
                <w:rFonts w:ascii="Arial" w:hAnsi="Arial" w:cs="Arial"/>
                <w:b/>
                <w:sz w:val="22"/>
                <w:szCs w:val="22"/>
              </w:rPr>
              <w:t>The requisite certificate should be made available to BEML.</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The firm should be responsible for any loss of life due to improper installation OR malfunction of the power fence system.</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Training for operation/control of the power fence system has to be imparted to user &amp; maintenance department by the firm, upto the satisfaction of BEML.</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 xml:space="preserve">The firm has to attend to unlimited number of </w:t>
            </w:r>
            <w:proofErr w:type="gramStart"/>
            <w:r w:rsidRPr="00E874E2">
              <w:rPr>
                <w:rFonts w:ascii="Arial" w:hAnsi="Arial" w:cs="Arial"/>
                <w:sz w:val="22"/>
                <w:szCs w:val="22"/>
              </w:rPr>
              <w:t>breakdown</w:t>
            </w:r>
            <w:proofErr w:type="gramEnd"/>
            <w:r w:rsidRPr="00E874E2">
              <w:rPr>
                <w:rFonts w:ascii="Arial" w:hAnsi="Arial" w:cs="Arial"/>
                <w:sz w:val="22"/>
                <w:szCs w:val="22"/>
              </w:rPr>
              <w:t xml:space="preserve"> calls within 24-hrs of complaint being logged by BEML during warranty &amp; CAMC period irrespective of whether it is Sunday/Holiday etc.</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In case repair of any part/accessory of the power fence system takes more than 48 hours, the firm has to immediately make the power fence system fully functional by providing at its own cost alternate part/accessory as a stop-gap arrangement.</w:t>
            </w:r>
          </w:p>
          <w:p w:rsidR="00E92521" w:rsidRPr="00E874E2" w:rsidRDefault="00E92521" w:rsidP="00E874E2">
            <w:pPr>
              <w:pStyle w:val="Paragraph"/>
              <w:numPr>
                <w:ilvl w:val="0"/>
                <w:numId w:val="13"/>
              </w:numPr>
              <w:spacing w:line="360" w:lineRule="auto"/>
              <w:ind w:right="274"/>
              <w:contextualSpacing/>
              <w:rPr>
                <w:rFonts w:ascii="Arial" w:hAnsi="Arial" w:cs="Arial"/>
                <w:sz w:val="22"/>
                <w:szCs w:val="22"/>
              </w:rPr>
            </w:pPr>
            <w:r w:rsidRPr="00E874E2">
              <w:rPr>
                <w:rFonts w:ascii="Arial" w:hAnsi="Arial" w:cs="Arial"/>
                <w:sz w:val="22"/>
                <w:szCs w:val="22"/>
              </w:rPr>
              <w:t xml:space="preserve">The firm should depute qualified technician at least once in 3-calendar months for PREVENTIVE MAINTENANCE during Warranty &amp; CAMC period. This Preventive </w:t>
            </w:r>
            <w:r w:rsidRPr="00E874E2">
              <w:rPr>
                <w:rFonts w:ascii="Arial" w:hAnsi="Arial" w:cs="Arial"/>
                <w:sz w:val="22"/>
                <w:szCs w:val="22"/>
              </w:rPr>
              <w:lastRenderedPageBreak/>
              <w:t>Maintenance visits by qualified technician shall be in addition to attending breakdown calls.</w:t>
            </w:r>
          </w:p>
          <w:p w:rsidR="00E92521" w:rsidRDefault="00E92521" w:rsidP="00E92521">
            <w:pPr>
              <w:pStyle w:val="Paragraph"/>
            </w:pPr>
          </w:p>
          <w:p w:rsidR="000A31D6" w:rsidRDefault="000A31D6" w:rsidP="000A31D6">
            <w:pPr>
              <w:pStyle w:val="Paragraph"/>
              <w:ind w:left="331" w:right="415"/>
            </w:pPr>
          </w:p>
          <w:p w:rsidR="00A038A7" w:rsidRDefault="00A038A7" w:rsidP="00A038A7">
            <w:pPr>
              <w:autoSpaceDE w:val="0"/>
              <w:autoSpaceDN w:val="0"/>
              <w:adjustRightInd w:val="0"/>
              <w:rPr>
                <w:rFonts w:ascii="Tahoma" w:eastAsiaTheme="minorHAnsi" w:hAnsi="Tahoma" w:cs="Tahoma"/>
                <w:color w:val="000000"/>
                <w:sz w:val="18"/>
                <w:szCs w:val="18"/>
                <w:lang w:val="en-IN"/>
              </w:rPr>
            </w:pPr>
          </w:p>
          <w:p w:rsidR="00FB32F0" w:rsidRDefault="00A038A7" w:rsidP="00A038A7">
            <w:pPr>
              <w:autoSpaceDE w:val="0"/>
              <w:autoSpaceDN w:val="0"/>
              <w:adjustRightInd w:val="0"/>
              <w:ind w:left="450" w:right="158"/>
              <w:rPr>
                <w:rFonts w:ascii="Arial" w:eastAsia="Calibri" w:hAnsi="Arial" w:cs="Arial"/>
              </w:rPr>
            </w:pPr>
            <w:r>
              <w:rPr>
                <w:rFonts w:ascii="Arial" w:eastAsia="Calibri" w:hAnsi="Arial" w:cs="Arial"/>
              </w:rPr>
              <w:t xml:space="preserve"> </w:t>
            </w:r>
          </w:p>
          <w:p w:rsidR="00FB32F0" w:rsidRDefault="00FB32F0" w:rsidP="00AE3287">
            <w:pPr>
              <w:autoSpaceDE w:val="0"/>
              <w:autoSpaceDN w:val="0"/>
              <w:adjustRightInd w:val="0"/>
              <w:ind w:left="450" w:right="180"/>
              <w:rPr>
                <w:rFonts w:ascii="Arial,Bold" w:eastAsia="Calibri" w:hAnsi="Arial,Bold" w:cs="Arial,Bold"/>
                <w:b/>
                <w:bCs/>
                <w:color w:val="000000"/>
                <w:sz w:val="24"/>
                <w:szCs w:val="24"/>
              </w:rPr>
            </w:pPr>
            <w:r>
              <w:rPr>
                <w:rFonts w:ascii="Arial,Bold" w:eastAsia="Calibri" w:hAnsi="Arial,Bold" w:cs="Arial,Bold"/>
                <w:b/>
                <w:bCs/>
                <w:color w:val="000000"/>
                <w:sz w:val="24"/>
                <w:szCs w:val="24"/>
              </w:rPr>
              <w:t>Note:</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 The tendering process is E-Mode and TWO BID SYSTEM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(a) Technical bid and (b) Commercial bid, both through SRM Portal. The firm to quote separately. </w:t>
            </w:r>
          </w:p>
          <w:p w:rsidR="00B5421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2) Please open the collaboration folder to view Tender Documents </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3) Kindly go through all the tender documents and bid accordingly.</w:t>
            </w:r>
          </w:p>
          <w:p w:rsidR="00FB32F0" w:rsidRDefault="00B959E6" w:rsidP="00AE3287">
            <w:pPr>
              <w:autoSpaceDE w:val="0"/>
              <w:autoSpaceDN w:val="0"/>
              <w:adjustRightInd w:val="0"/>
              <w:ind w:left="450" w:right="180"/>
              <w:rPr>
                <w:rFonts w:ascii="Verdana,Bold" w:eastAsia="Calibri" w:hAnsi="Verdana,Bold" w:cs="Verdana,Bold"/>
                <w:b/>
                <w:bCs/>
                <w:color w:val="000000"/>
                <w:sz w:val="22"/>
                <w:szCs w:val="22"/>
              </w:rPr>
            </w:pPr>
            <w:r>
              <w:rPr>
                <w:rFonts w:eastAsia="Calibri" w:cs="Verdana"/>
                <w:color w:val="000000"/>
                <w:sz w:val="22"/>
                <w:szCs w:val="22"/>
              </w:rPr>
              <w:t>4</w:t>
            </w:r>
            <w:r w:rsidR="00FB32F0">
              <w:rPr>
                <w:rFonts w:eastAsia="Calibri" w:cs="Verdana"/>
                <w:color w:val="000000"/>
                <w:sz w:val="22"/>
                <w:szCs w:val="22"/>
              </w:rPr>
              <w:t xml:space="preserve">) </w:t>
            </w:r>
            <w:r w:rsidR="00FB32F0">
              <w:rPr>
                <w:rFonts w:ascii="Verdana,Bold" w:eastAsia="Calibri" w:hAnsi="Verdana,Bold" w:cs="Verdana,Bold"/>
                <w:b/>
                <w:bCs/>
                <w:color w:val="000000"/>
                <w:sz w:val="22"/>
                <w:szCs w:val="22"/>
              </w:rPr>
              <w:t>In technical bid, firm should send completely filled in &amp; signed “Annexure-</w:t>
            </w:r>
            <w:proofErr w:type="gramStart"/>
            <w:r w:rsidR="00FB32F0">
              <w:rPr>
                <w:rFonts w:ascii="Verdana,Bold" w:eastAsia="Calibri" w:hAnsi="Verdana,Bold" w:cs="Verdana,Bold"/>
                <w:b/>
                <w:bCs/>
                <w:color w:val="000000"/>
                <w:sz w:val="22"/>
                <w:szCs w:val="22"/>
              </w:rPr>
              <w:t>A</w:t>
            </w:r>
            <w:r>
              <w:rPr>
                <w:rFonts w:ascii="Verdana,Bold" w:eastAsia="Calibri" w:hAnsi="Verdana,Bold" w:cs="Verdana,Bold"/>
                <w:b/>
                <w:bCs/>
                <w:color w:val="000000"/>
                <w:sz w:val="22"/>
                <w:szCs w:val="22"/>
              </w:rPr>
              <w:t>,B</w:t>
            </w:r>
            <w:proofErr w:type="gramEnd"/>
            <w:r>
              <w:rPr>
                <w:rFonts w:ascii="Verdana,Bold" w:eastAsia="Calibri" w:hAnsi="Verdana,Bold" w:cs="Verdana,Bold"/>
                <w:b/>
                <w:bCs/>
                <w:color w:val="000000"/>
                <w:sz w:val="22"/>
                <w:szCs w:val="22"/>
              </w:rPr>
              <w:t xml:space="preserve"> and C</w:t>
            </w:r>
            <w:r w:rsidR="00FB32F0">
              <w:rPr>
                <w:rFonts w:ascii="Verdana,Bold" w:eastAsia="Calibri" w:hAnsi="Verdana,Bold" w:cs="Verdana,Bold"/>
                <w:b/>
                <w:bCs/>
                <w:color w:val="000000"/>
                <w:sz w:val="22"/>
                <w:szCs w:val="22"/>
              </w:rPr>
              <w:t>”/ Technical specification sheet filling their acceptance/remarks in vendor remarks Column preferably in your company Letter head. Apart from this tenderer requested to upload all relevant technical details like catalogue, drawing, make etc.</w:t>
            </w:r>
          </w:p>
          <w:p w:rsidR="00FB32F0" w:rsidRPr="001A2AE5" w:rsidRDefault="00FB32F0" w:rsidP="00AE3287">
            <w:pPr>
              <w:autoSpaceDE w:val="0"/>
              <w:autoSpaceDN w:val="0"/>
              <w:adjustRightInd w:val="0"/>
              <w:ind w:left="450" w:right="180"/>
              <w:rPr>
                <w:rFonts w:ascii="Verdana,Bold" w:eastAsia="Calibri" w:hAnsi="Verdana,Bold" w:cs="Verdana,Bold"/>
                <w:b/>
                <w:bCs/>
                <w:color w:val="000000"/>
                <w:sz w:val="22"/>
                <w:szCs w:val="22"/>
                <w:u w:val="single"/>
              </w:rPr>
            </w:pPr>
            <w:r w:rsidRPr="001A2AE5">
              <w:rPr>
                <w:rFonts w:ascii="Verdana,Bold" w:eastAsia="Calibri" w:hAnsi="Verdana,Bold" w:cs="Verdana,Bold"/>
                <w:b/>
                <w:bCs/>
                <w:color w:val="000000"/>
                <w:sz w:val="22"/>
                <w:szCs w:val="22"/>
                <w:u w:val="single"/>
              </w:rPr>
              <w:t>Kindly do not upload any commercial related documents in the Technical Bid If any</w:t>
            </w:r>
            <w:r>
              <w:rPr>
                <w:rFonts w:ascii="Verdana,Bold" w:eastAsia="Calibri" w:hAnsi="Verdana,Bold" w:cs="Verdana,Bold"/>
                <w:b/>
                <w:bCs/>
                <w:color w:val="000000"/>
                <w:sz w:val="22"/>
                <w:szCs w:val="22"/>
              </w:rPr>
              <w:t xml:space="preserve"> </w:t>
            </w:r>
            <w:r w:rsidRPr="001A2AE5">
              <w:rPr>
                <w:rFonts w:ascii="Verdana,Bold" w:eastAsia="Calibri" w:hAnsi="Verdana,Bold" w:cs="Verdana,Bold"/>
                <w:b/>
                <w:bCs/>
                <w:color w:val="000000"/>
                <w:sz w:val="22"/>
                <w:szCs w:val="22"/>
                <w:u w:val="single"/>
              </w:rPr>
              <w:t>commercial details in any form found in the technical bid, summarily rejecting the bid and further no correspondence will be entertained in this regard.</w:t>
            </w:r>
          </w:p>
          <w:p w:rsidR="00FB32F0" w:rsidRDefault="00FB32F0" w:rsidP="00AE3287">
            <w:pPr>
              <w:autoSpaceDE w:val="0"/>
              <w:autoSpaceDN w:val="0"/>
              <w:adjustRightInd w:val="0"/>
              <w:ind w:left="450" w:right="180"/>
              <w:rPr>
                <w:rFonts w:ascii="Verdana,Bold" w:eastAsia="Calibri" w:hAnsi="Verdana,Bold" w:cs="Verdana,Bold"/>
                <w:b/>
                <w:bCs/>
                <w:color w:val="000000"/>
                <w:sz w:val="22"/>
                <w:szCs w:val="22"/>
              </w:rPr>
            </w:pPr>
            <w:r>
              <w:rPr>
                <w:rFonts w:ascii="Verdana,Bold" w:eastAsia="Calibri" w:hAnsi="Verdana,Bold" w:cs="Verdana,Bold"/>
                <w:b/>
                <w:bCs/>
                <w:color w:val="000000"/>
                <w:sz w:val="22"/>
                <w:szCs w:val="22"/>
              </w:rPr>
              <w:t>6) Please Provide Entire PRICE BREAK UP DETAILS in the BIDDER'S REMARK Section</w:t>
            </w:r>
            <w:r w:rsidR="00AF26D5">
              <w:rPr>
                <w:rFonts w:ascii="Verdana,Bold" w:eastAsia="Calibri" w:hAnsi="Verdana,Bold" w:cs="Verdana,Bold"/>
                <w:b/>
                <w:bCs/>
                <w:color w:val="000000"/>
                <w:sz w:val="22"/>
                <w:szCs w:val="22"/>
              </w:rPr>
              <w:t xml:space="preserve"> </w:t>
            </w:r>
            <w:r>
              <w:rPr>
                <w:rFonts w:ascii="Verdana,Bold" w:eastAsia="Calibri" w:hAnsi="Verdana,Bold" w:cs="Verdana,Bold"/>
                <w:b/>
                <w:bCs/>
                <w:color w:val="000000"/>
                <w:sz w:val="22"/>
                <w:szCs w:val="22"/>
              </w:rPr>
              <w:t>Only.</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7) Only the Technical bids will be opened first and will be sent for technical evaluation.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Commercial bids of technically qualified bidders only will be opened.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8) To be delivered to BEML Bangalore Complex on FOR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9) A like to like comparison of Specifications &amp; Notes of our tender enquiry w.r.t the offers to be furnished along with the offer.</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10) Quotation should be valid for 120 days from date of tender opening.</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11) FAX/E-mail/Manual quotations are not acceptable and quotations received through these modes will be rejected. Incomplete and conditional offers are also liable for rejection.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12) 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will be rejected.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13) Corrigendum if any will be updated in BEML website only.</w:t>
            </w:r>
          </w:p>
          <w:p w:rsidR="00FB32F0" w:rsidRDefault="00FB32F0" w:rsidP="00AE3287">
            <w:pPr>
              <w:autoSpaceDE w:val="0"/>
              <w:autoSpaceDN w:val="0"/>
              <w:adjustRightInd w:val="0"/>
              <w:ind w:left="450" w:right="180"/>
              <w:rPr>
                <w:rFonts w:eastAsia="Calibri" w:cs="Verdana"/>
                <w:color w:val="0000FF"/>
                <w:sz w:val="22"/>
                <w:szCs w:val="22"/>
              </w:rPr>
            </w:pPr>
            <w:r>
              <w:rPr>
                <w:rFonts w:eastAsia="Calibri" w:cs="Verdana"/>
                <w:color w:val="000000"/>
                <w:sz w:val="22"/>
                <w:szCs w:val="22"/>
              </w:rPr>
              <w:t xml:space="preserve">14) Any clarification in the tender, please contact in 080-25348770 / 25022638/ 25022635 Email ID: </w:t>
            </w:r>
            <w:r>
              <w:rPr>
                <w:rFonts w:eastAsia="Calibri" w:cs="Verdana"/>
                <w:color w:val="0000FF"/>
                <w:sz w:val="22"/>
                <w:szCs w:val="22"/>
              </w:rPr>
              <w:t>rmm-1@beml.co.in</w:t>
            </w:r>
          </w:p>
          <w:p w:rsidR="00FB32F0" w:rsidRDefault="00FB32F0" w:rsidP="00AE3287">
            <w:pPr>
              <w:autoSpaceDE w:val="0"/>
              <w:autoSpaceDN w:val="0"/>
              <w:adjustRightInd w:val="0"/>
              <w:ind w:left="450" w:right="158"/>
              <w:rPr>
                <w:rFonts w:ascii="Arial" w:eastAsia="Calibri" w:hAnsi="Arial" w:cs="Arial"/>
              </w:rPr>
            </w:pPr>
          </w:p>
          <w:p w:rsidR="00FB32F0" w:rsidRPr="00701EAC" w:rsidRDefault="00FB32F0" w:rsidP="00AE3287">
            <w:pPr>
              <w:ind w:right="158"/>
              <w:rPr>
                <w:rFonts w:ascii="Arial Narrow" w:hAnsi="Arial Narrow"/>
                <w:sz w:val="22"/>
                <w:szCs w:val="22"/>
              </w:rPr>
            </w:pPr>
            <w:r w:rsidRPr="00F11E85">
              <w:rPr>
                <w:rFonts w:ascii="Arial" w:hAnsi="Arial" w:cs="Arial"/>
              </w:rPr>
              <w:t xml:space="preserve"> </w:t>
            </w:r>
          </w:p>
        </w:tc>
      </w:tr>
      <w:tr w:rsidR="00FB32F0" w:rsidRPr="00701EAC" w:rsidTr="00AE3287">
        <w:trPr>
          <w:gridAfter w:val="1"/>
          <w:wAfter w:w="26" w:type="dxa"/>
          <w:trHeight w:val="306"/>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lastRenderedPageBreak/>
              <w:t>DELIVERY SCHEDULE</w:t>
            </w:r>
          </w:p>
        </w:tc>
      </w:tr>
      <w:tr w:rsidR="00FB32F0" w:rsidRPr="00701EAC" w:rsidTr="00AE3287">
        <w:trPr>
          <w:trHeight w:val="307"/>
        </w:trPr>
        <w:tc>
          <w:tcPr>
            <w:tcW w:w="9994" w:type="dxa"/>
            <w:gridSpan w:val="6"/>
            <w:vAlign w:val="center"/>
          </w:tcPr>
          <w:p w:rsidR="00FB32F0" w:rsidRPr="004D4DF3" w:rsidRDefault="00FB32F0" w:rsidP="00FB32F0">
            <w:pPr>
              <w:jc w:val="center"/>
              <w:rPr>
                <w:b/>
                <w:sz w:val="18"/>
                <w:szCs w:val="18"/>
              </w:rPr>
            </w:pPr>
            <w:r>
              <w:rPr>
                <w:b/>
                <w:sz w:val="18"/>
                <w:szCs w:val="18"/>
              </w:rPr>
              <w:t xml:space="preserve">                The above items are required from </w:t>
            </w:r>
            <w:r w:rsidR="00E874E2">
              <w:rPr>
                <w:b/>
                <w:sz w:val="18"/>
                <w:szCs w:val="18"/>
              </w:rPr>
              <w:t>October</w:t>
            </w:r>
            <w:r>
              <w:rPr>
                <w:b/>
                <w:sz w:val="18"/>
                <w:szCs w:val="18"/>
              </w:rPr>
              <w:t xml:space="preserve"> 20</w:t>
            </w:r>
            <w:r w:rsidR="00194BBB">
              <w:rPr>
                <w:b/>
                <w:sz w:val="18"/>
                <w:szCs w:val="18"/>
              </w:rPr>
              <w:t>20</w:t>
            </w:r>
            <w:r>
              <w:rPr>
                <w:b/>
                <w:sz w:val="18"/>
                <w:szCs w:val="18"/>
              </w:rPr>
              <w:t xml:space="preserve"> </w:t>
            </w:r>
            <w:bookmarkStart w:id="22" w:name="_GoBack"/>
            <w:bookmarkEnd w:id="22"/>
          </w:p>
        </w:tc>
      </w:tr>
    </w:tbl>
    <w:p w:rsidR="00FB32F0" w:rsidRDefault="00FB32F0" w:rsidP="00FB32F0">
      <w:pPr>
        <w:ind w:left="-540" w:right="-511"/>
        <w:jc w:val="both"/>
        <w:rPr>
          <w:rFonts w:ascii="Arial" w:hAnsi="Arial" w:cs="Arial"/>
          <w:sz w:val="18"/>
          <w:szCs w:val="18"/>
        </w:rPr>
      </w:pPr>
    </w:p>
    <w:p w:rsidR="00FB32F0" w:rsidRDefault="00FB32F0" w:rsidP="00FB32F0">
      <w:pPr>
        <w:ind w:left="-540" w:right="-511"/>
        <w:jc w:val="both"/>
        <w:rPr>
          <w:rFonts w:ascii="Arial" w:hAnsi="Arial" w:cs="Arial"/>
          <w:sz w:val="18"/>
          <w:szCs w:val="18"/>
        </w:rPr>
      </w:pP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Signature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Name:</w:t>
      </w: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Signed By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Seal:</w:t>
      </w:r>
    </w:p>
    <w:p w:rsidR="00FB32F0" w:rsidRDefault="00FB32F0" w:rsidP="00FB32F0">
      <w:pPr>
        <w:rPr>
          <w:b/>
        </w:rPr>
      </w:pPr>
    </w:p>
    <w:p w:rsidR="00FB32F0" w:rsidRDefault="00FB32F0" w:rsidP="00FB32F0">
      <w:pPr>
        <w:ind w:left="-540"/>
        <w:rPr>
          <w:b/>
        </w:rPr>
      </w:pPr>
      <w:r>
        <w:rPr>
          <w:b/>
        </w:rPr>
        <w:t>Date:</w:t>
      </w:r>
    </w:p>
    <w:p w:rsidR="00FB32F0" w:rsidRDefault="00FB32F0" w:rsidP="00FB32F0">
      <w:pPr>
        <w:rPr>
          <w:b/>
        </w:rPr>
      </w:pPr>
    </w:p>
    <w:p w:rsidR="00FB32F0" w:rsidRDefault="00FB32F0" w:rsidP="00FB32F0">
      <w:pPr>
        <w:rPr>
          <w:b/>
        </w:rPr>
      </w:pPr>
    </w:p>
    <w:p w:rsidR="00FB32F0" w:rsidRDefault="00FB32F0" w:rsidP="00FB32F0">
      <w:pPr>
        <w:rPr>
          <w:b/>
        </w:rPr>
      </w:pPr>
    </w:p>
    <w:p w:rsidR="00FB32F0" w:rsidRPr="00701EAC" w:rsidRDefault="00FB32F0" w:rsidP="00FB32F0">
      <w:pPr>
        <w:rPr>
          <w:rFonts w:ascii="Arial" w:hAnsi="Arial" w:cs="Arial"/>
          <w:b/>
          <w:sz w:val="18"/>
          <w:szCs w:val="18"/>
        </w:rPr>
      </w:pPr>
      <w:r>
        <w:rPr>
          <w:b/>
        </w:rPr>
        <w:t>Note:  Vendors are requested to put seal and signature in Exhibit A indicating their acceptance to delivery schedule and submit the same to us in original letter head</w:t>
      </w:r>
    </w:p>
    <w:p w:rsidR="00422965" w:rsidRDefault="00422965"/>
    <w:sectPr w:rsidR="00422965" w:rsidSect="00AE3287">
      <w:headerReference w:type="default" r:id="rId8"/>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688" w:rsidRDefault="00431688">
      <w:r>
        <w:separator/>
      </w:r>
    </w:p>
  </w:endnote>
  <w:endnote w:type="continuationSeparator" w:id="0">
    <w:p w:rsidR="00431688" w:rsidRDefault="0043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auto"/>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688" w:rsidRDefault="00431688">
      <w:r>
        <w:separator/>
      </w:r>
    </w:p>
  </w:footnote>
  <w:footnote w:type="continuationSeparator" w:id="0">
    <w:p w:rsidR="00431688" w:rsidRDefault="00431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287" w:rsidRDefault="00AE32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469C9"/>
    <w:multiLevelType w:val="hybridMultilevel"/>
    <w:tmpl w:val="A6AC9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368CD"/>
    <w:multiLevelType w:val="hybridMultilevel"/>
    <w:tmpl w:val="B43E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D3FA3"/>
    <w:multiLevelType w:val="hybridMultilevel"/>
    <w:tmpl w:val="1A521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86ADA"/>
    <w:multiLevelType w:val="hybridMultilevel"/>
    <w:tmpl w:val="EF646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277FD"/>
    <w:multiLevelType w:val="hybridMultilevel"/>
    <w:tmpl w:val="E154EEE6"/>
    <w:lvl w:ilvl="0" w:tplc="4009000F">
      <w:start w:val="1"/>
      <w:numFmt w:val="decimal"/>
      <w:lvlText w:val="%1."/>
      <w:lvlJc w:val="left"/>
      <w:pPr>
        <w:ind w:left="1193" w:hanging="360"/>
      </w:pPr>
    </w:lvl>
    <w:lvl w:ilvl="1" w:tplc="40090019" w:tentative="1">
      <w:start w:val="1"/>
      <w:numFmt w:val="lowerLetter"/>
      <w:lvlText w:val="%2."/>
      <w:lvlJc w:val="left"/>
      <w:pPr>
        <w:ind w:left="1913" w:hanging="360"/>
      </w:pPr>
    </w:lvl>
    <w:lvl w:ilvl="2" w:tplc="4009001B" w:tentative="1">
      <w:start w:val="1"/>
      <w:numFmt w:val="lowerRoman"/>
      <w:lvlText w:val="%3."/>
      <w:lvlJc w:val="right"/>
      <w:pPr>
        <w:ind w:left="2633" w:hanging="180"/>
      </w:pPr>
    </w:lvl>
    <w:lvl w:ilvl="3" w:tplc="4009000F" w:tentative="1">
      <w:start w:val="1"/>
      <w:numFmt w:val="decimal"/>
      <w:lvlText w:val="%4."/>
      <w:lvlJc w:val="left"/>
      <w:pPr>
        <w:ind w:left="3353" w:hanging="360"/>
      </w:pPr>
    </w:lvl>
    <w:lvl w:ilvl="4" w:tplc="40090019" w:tentative="1">
      <w:start w:val="1"/>
      <w:numFmt w:val="lowerLetter"/>
      <w:lvlText w:val="%5."/>
      <w:lvlJc w:val="left"/>
      <w:pPr>
        <w:ind w:left="4073" w:hanging="360"/>
      </w:pPr>
    </w:lvl>
    <w:lvl w:ilvl="5" w:tplc="4009001B" w:tentative="1">
      <w:start w:val="1"/>
      <w:numFmt w:val="lowerRoman"/>
      <w:lvlText w:val="%6."/>
      <w:lvlJc w:val="right"/>
      <w:pPr>
        <w:ind w:left="4793" w:hanging="180"/>
      </w:pPr>
    </w:lvl>
    <w:lvl w:ilvl="6" w:tplc="4009000F" w:tentative="1">
      <w:start w:val="1"/>
      <w:numFmt w:val="decimal"/>
      <w:lvlText w:val="%7."/>
      <w:lvlJc w:val="left"/>
      <w:pPr>
        <w:ind w:left="5513" w:hanging="360"/>
      </w:pPr>
    </w:lvl>
    <w:lvl w:ilvl="7" w:tplc="40090019" w:tentative="1">
      <w:start w:val="1"/>
      <w:numFmt w:val="lowerLetter"/>
      <w:lvlText w:val="%8."/>
      <w:lvlJc w:val="left"/>
      <w:pPr>
        <w:ind w:left="6233" w:hanging="360"/>
      </w:pPr>
    </w:lvl>
    <w:lvl w:ilvl="8" w:tplc="4009001B" w:tentative="1">
      <w:start w:val="1"/>
      <w:numFmt w:val="lowerRoman"/>
      <w:lvlText w:val="%9."/>
      <w:lvlJc w:val="right"/>
      <w:pPr>
        <w:ind w:left="6953" w:hanging="180"/>
      </w:pPr>
    </w:lvl>
  </w:abstractNum>
  <w:abstractNum w:abstractNumId="6" w15:restartNumberingAfterBreak="0">
    <w:nsid w:val="37613713"/>
    <w:multiLevelType w:val="hybridMultilevel"/>
    <w:tmpl w:val="C31802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CF41A12"/>
    <w:multiLevelType w:val="hybridMultilevel"/>
    <w:tmpl w:val="9260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F67ABF"/>
    <w:multiLevelType w:val="hybridMultilevel"/>
    <w:tmpl w:val="D3503062"/>
    <w:lvl w:ilvl="0" w:tplc="0409000F">
      <w:start w:val="1"/>
      <w:numFmt w:val="decimal"/>
      <w:lvlText w:val="%1."/>
      <w:lvlJc w:val="left"/>
      <w:pPr>
        <w:ind w:left="720" w:hanging="360"/>
      </w:pPr>
      <w:rPr>
        <w:rFonts w:hint="default"/>
      </w:rPr>
    </w:lvl>
    <w:lvl w:ilvl="1" w:tplc="6A34D4D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B2BF7"/>
    <w:multiLevelType w:val="hybridMultilevel"/>
    <w:tmpl w:val="53AEA754"/>
    <w:lvl w:ilvl="0" w:tplc="04B612BE">
      <w:start w:val="1"/>
      <w:numFmt w:val="decimal"/>
      <w:lvlText w:val="%1."/>
      <w:lvlJc w:val="left"/>
      <w:pPr>
        <w:ind w:left="833" w:hanging="360"/>
      </w:pPr>
      <w:rPr>
        <w:rFonts w:hint="default"/>
      </w:rPr>
    </w:lvl>
    <w:lvl w:ilvl="1" w:tplc="40090019" w:tentative="1">
      <w:start w:val="1"/>
      <w:numFmt w:val="lowerLetter"/>
      <w:lvlText w:val="%2."/>
      <w:lvlJc w:val="left"/>
      <w:pPr>
        <w:ind w:left="1553" w:hanging="360"/>
      </w:pPr>
    </w:lvl>
    <w:lvl w:ilvl="2" w:tplc="4009001B" w:tentative="1">
      <w:start w:val="1"/>
      <w:numFmt w:val="lowerRoman"/>
      <w:lvlText w:val="%3."/>
      <w:lvlJc w:val="right"/>
      <w:pPr>
        <w:ind w:left="2273" w:hanging="180"/>
      </w:pPr>
    </w:lvl>
    <w:lvl w:ilvl="3" w:tplc="4009000F" w:tentative="1">
      <w:start w:val="1"/>
      <w:numFmt w:val="decimal"/>
      <w:lvlText w:val="%4."/>
      <w:lvlJc w:val="left"/>
      <w:pPr>
        <w:ind w:left="2993" w:hanging="360"/>
      </w:pPr>
    </w:lvl>
    <w:lvl w:ilvl="4" w:tplc="40090019" w:tentative="1">
      <w:start w:val="1"/>
      <w:numFmt w:val="lowerLetter"/>
      <w:lvlText w:val="%5."/>
      <w:lvlJc w:val="left"/>
      <w:pPr>
        <w:ind w:left="3713" w:hanging="360"/>
      </w:pPr>
    </w:lvl>
    <w:lvl w:ilvl="5" w:tplc="4009001B" w:tentative="1">
      <w:start w:val="1"/>
      <w:numFmt w:val="lowerRoman"/>
      <w:lvlText w:val="%6."/>
      <w:lvlJc w:val="right"/>
      <w:pPr>
        <w:ind w:left="4433" w:hanging="180"/>
      </w:pPr>
    </w:lvl>
    <w:lvl w:ilvl="6" w:tplc="4009000F" w:tentative="1">
      <w:start w:val="1"/>
      <w:numFmt w:val="decimal"/>
      <w:lvlText w:val="%7."/>
      <w:lvlJc w:val="left"/>
      <w:pPr>
        <w:ind w:left="5153" w:hanging="360"/>
      </w:pPr>
    </w:lvl>
    <w:lvl w:ilvl="7" w:tplc="40090019" w:tentative="1">
      <w:start w:val="1"/>
      <w:numFmt w:val="lowerLetter"/>
      <w:lvlText w:val="%8."/>
      <w:lvlJc w:val="left"/>
      <w:pPr>
        <w:ind w:left="5873" w:hanging="360"/>
      </w:pPr>
    </w:lvl>
    <w:lvl w:ilvl="8" w:tplc="4009001B" w:tentative="1">
      <w:start w:val="1"/>
      <w:numFmt w:val="lowerRoman"/>
      <w:lvlText w:val="%9."/>
      <w:lvlJc w:val="right"/>
      <w:pPr>
        <w:ind w:left="6593" w:hanging="180"/>
      </w:pPr>
    </w:lvl>
  </w:abstractNum>
  <w:abstractNum w:abstractNumId="10" w15:restartNumberingAfterBreak="0">
    <w:nsid w:val="5F6864B5"/>
    <w:multiLevelType w:val="hybridMultilevel"/>
    <w:tmpl w:val="25C07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857DD"/>
    <w:multiLevelType w:val="hybridMultilevel"/>
    <w:tmpl w:val="EEC6DA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C6DB7"/>
    <w:multiLevelType w:val="hybridMultilevel"/>
    <w:tmpl w:val="EA88F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6"/>
  </w:num>
  <w:num w:numId="4">
    <w:abstractNumId w:val="7"/>
  </w:num>
  <w:num w:numId="5">
    <w:abstractNumId w:val="10"/>
  </w:num>
  <w:num w:numId="6">
    <w:abstractNumId w:val="2"/>
  </w:num>
  <w:num w:numId="7">
    <w:abstractNumId w:val="1"/>
  </w:num>
  <w:num w:numId="8">
    <w:abstractNumId w:val="4"/>
  </w:num>
  <w:num w:numId="9">
    <w:abstractNumId w:val="8"/>
  </w:num>
  <w:num w:numId="10">
    <w:abstractNumId w:val="3"/>
  </w:num>
  <w:num w:numId="11">
    <w:abstractNumId w:val="12"/>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2F0"/>
    <w:rsid w:val="00011752"/>
    <w:rsid w:val="000A31D6"/>
    <w:rsid w:val="000B196F"/>
    <w:rsid w:val="00130F19"/>
    <w:rsid w:val="00194BBB"/>
    <w:rsid w:val="002055B0"/>
    <w:rsid w:val="00331E81"/>
    <w:rsid w:val="00333882"/>
    <w:rsid w:val="00422965"/>
    <w:rsid w:val="00431688"/>
    <w:rsid w:val="004A47DA"/>
    <w:rsid w:val="004B477A"/>
    <w:rsid w:val="005D1CDD"/>
    <w:rsid w:val="005F098C"/>
    <w:rsid w:val="006D0A9C"/>
    <w:rsid w:val="00825FE2"/>
    <w:rsid w:val="008C5008"/>
    <w:rsid w:val="009F4EF9"/>
    <w:rsid w:val="00A038A7"/>
    <w:rsid w:val="00AA7A7A"/>
    <w:rsid w:val="00AE3287"/>
    <w:rsid w:val="00AF26D5"/>
    <w:rsid w:val="00AF7CAE"/>
    <w:rsid w:val="00B54210"/>
    <w:rsid w:val="00B86BB7"/>
    <w:rsid w:val="00B959E6"/>
    <w:rsid w:val="00C2121E"/>
    <w:rsid w:val="00CD7440"/>
    <w:rsid w:val="00E13BA9"/>
    <w:rsid w:val="00E874E2"/>
    <w:rsid w:val="00E92521"/>
    <w:rsid w:val="00EA3A64"/>
    <w:rsid w:val="00FA1763"/>
    <w:rsid w:val="00FB32F0"/>
    <w:rsid w:val="00FD3257"/>
    <w:rsid w:val="00FF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33467ED4"/>
  <w15:chartTrackingRefBased/>
  <w15:docId w15:val="{D351CB8E-77A7-4C39-9697-5D8D5342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32F0"/>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FB32F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B32F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B32F0"/>
    <w:pPr>
      <w:keepNext/>
      <w:outlineLvl w:val="2"/>
    </w:pPr>
    <w:rPr>
      <w:b/>
      <w:bCs/>
      <w:color w:val="0000FF"/>
      <w:sz w:val="16"/>
    </w:rPr>
  </w:style>
  <w:style w:type="paragraph" w:styleId="Heading4">
    <w:name w:val="heading 4"/>
    <w:basedOn w:val="Normal"/>
    <w:next w:val="Normal"/>
    <w:link w:val="Heading4Char"/>
    <w:qFormat/>
    <w:rsid w:val="00FB32F0"/>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B32F0"/>
    <w:pPr>
      <w:keepNext/>
      <w:jc w:val="center"/>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2F0"/>
    <w:rPr>
      <w:rFonts w:ascii="Arial" w:eastAsia="Times New Roman" w:hAnsi="Arial" w:cs="Arial"/>
      <w:b/>
      <w:bCs/>
      <w:kern w:val="32"/>
      <w:sz w:val="32"/>
      <w:szCs w:val="32"/>
    </w:rPr>
  </w:style>
  <w:style w:type="character" w:customStyle="1" w:styleId="Heading2Char">
    <w:name w:val="Heading 2 Char"/>
    <w:basedOn w:val="DefaultParagraphFont"/>
    <w:link w:val="Heading2"/>
    <w:rsid w:val="00FB32F0"/>
    <w:rPr>
      <w:rFonts w:ascii="Arial" w:eastAsia="Times New Roman" w:hAnsi="Arial" w:cs="Arial"/>
      <w:b/>
      <w:bCs/>
      <w:i/>
      <w:iCs/>
      <w:sz w:val="28"/>
      <w:szCs w:val="28"/>
    </w:rPr>
  </w:style>
  <w:style w:type="character" w:customStyle="1" w:styleId="Heading3Char">
    <w:name w:val="Heading 3 Char"/>
    <w:basedOn w:val="DefaultParagraphFont"/>
    <w:link w:val="Heading3"/>
    <w:rsid w:val="00FB32F0"/>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B32F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B32F0"/>
    <w:rPr>
      <w:rFonts w:ascii="Verdana" w:eastAsia="Times New Roman" w:hAnsi="Verdana" w:cs="Times New Roman"/>
      <w:b/>
      <w:bCs/>
      <w:sz w:val="24"/>
      <w:szCs w:val="20"/>
    </w:rPr>
  </w:style>
  <w:style w:type="paragraph" w:styleId="BodyText">
    <w:name w:val="Body Text"/>
    <w:basedOn w:val="Normal"/>
    <w:link w:val="BodyTextChar"/>
    <w:rsid w:val="00FB32F0"/>
    <w:pPr>
      <w:jc w:val="both"/>
    </w:pPr>
  </w:style>
  <w:style w:type="character" w:customStyle="1" w:styleId="BodyTextChar">
    <w:name w:val="Body Text Char"/>
    <w:basedOn w:val="DefaultParagraphFont"/>
    <w:link w:val="BodyText"/>
    <w:rsid w:val="00FB32F0"/>
    <w:rPr>
      <w:rFonts w:ascii="Verdana" w:eastAsia="Times New Roman" w:hAnsi="Verdana" w:cs="Times New Roman"/>
      <w:sz w:val="20"/>
      <w:szCs w:val="20"/>
    </w:rPr>
  </w:style>
  <w:style w:type="paragraph" w:styleId="Header">
    <w:name w:val="header"/>
    <w:basedOn w:val="Normal"/>
    <w:link w:val="HeaderChar"/>
    <w:rsid w:val="00FB32F0"/>
    <w:pPr>
      <w:tabs>
        <w:tab w:val="center" w:pos="4320"/>
        <w:tab w:val="right" w:pos="8640"/>
      </w:tabs>
    </w:pPr>
  </w:style>
  <w:style w:type="character" w:customStyle="1" w:styleId="HeaderChar">
    <w:name w:val="Header Char"/>
    <w:basedOn w:val="DefaultParagraphFont"/>
    <w:link w:val="Header"/>
    <w:rsid w:val="00FB32F0"/>
    <w:rPr>
      <w:rFonts w:ascii="Verdana" w:eastAsia="Times New Roman" w:hAnsi="Verdana" w:cs="Times New Roman"/>
      <w:sz w:val="20"/>
      <w:szCs w:val="20"/>
    </w:rPr>
  </w:style>
  <w:style w:type="paragraph" w:styleId="ListParagraph">
    <w:name w:val="List Paragraph"/>
    <w:basedOn w:val="Normal"/>
    <w:uiPriority w:val="34"/>
    <w:qFormat/>
    <w:rsid w:val="004B477A"/>
    <w:pPr>
      <w:ind w:left="720"/>
      <w:contextualSpacing/>
    </w:pPr>
  </w:style>
  <w:style w:type="paragraph" w:styleId="BalloonText">
    <w:name w:val="Balloon Text"/>
    <w:basedOn w:val="Normal"/>
    <w:link w:val="BalloonTextChar"/>
    <w:uiPriority w:val="99"/>
    <w:semiHidden/>
    <w:unhideWhenUsed/>
    <w:rsid w:val="00FD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257"/>
    <w:rPr>
      <w:rFonts w:ascii="Segoe UI" w:eastAsia="Times New Roman" w:hAnsi="Segoe UI" w:cs="Segoe UI"/>
      <w:sz w:val="18"/>
      <w:szCs w:val="18"/>
    </w:rPr>
  </w:style>
  <w:style w:type="paragraph" w:customStyle="1" w:styleId="Paragraph">
    <w:name w:val="* Paragraph"/>
    <w:aliases w:val="left-aligned1"/>
    <w:uiPriority w:val="99"/>
    <w:rsid w:val="000A31D6"/>
    <w:pPr>
      <w:widowControl w:val="0"/>
      <w:autoSpaceDE w:val="0"/>
      <w:autoSpaceDN w:val="0"/>
      <w:adjustRightInd w:val="0"/>
      <w:spacing w:after="0" w:line="240" w:lineRule="atLeast"/>
    </w:pPr>
    <w:rPr>
      <w:rFonts w:ascii="Courier New" w:eastAsia="Times New Roman" w:hAnsi="Courier New" w:cs="Courier New"/>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5</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KEERTHI PRIYA G</cp:lastModifiedBy>
  <cp:revision>12</cp:revision>
  <cp:lastPrinted>2019-07-30T10:42:00Z</cp:lastPrinted>
  <dcterms:created xsi:type="dcterms:W3CDTF">2019-07-30T10:31:00Z</dcterms:created>
  <dcterms:modified xsi:type="dcterms:W3CDTF">2020-08-24T07:48:00Z</dcterms:modified>
</cp:coreProperties>
</file>